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395256" w:rsidP="00022679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</w:t>
            </w:r>
            <w:r w:rsidR="00022679">
              <w:rPr>
                <w:bCs/>
                <w:kern w:val="1"/>
                <w:szCs w:val="28"/>
              </w:rPr>
              <w:t>8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 w:rsidR="00022679">
              <w:rPr>
                <w:bCs/>
                <w:kern w:val="1"/>
                <w:szCs w:val="28"/>
              </w:rPr>
              <w:t>7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022679"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022679" w:rsidP="00B605F0">
      <w:pPr>
        <w:ind w:firstLine="708"/>
        <w:jc w:val="center"/>
        <w:rPr>
          <w:szCs w:val="28"/>
          <w:lang w:eastAsia="ru-RU"/>
        </w:rPr>
      </w:pPr>
      <w:r w:rsidRPr="00022679">
        <w:rPr>
          <w:b/>
          <w:bCs/>
          <w:szCs w:val="28"/>
          <w:lang w:eastAsia="ru-RU"/>
        </w:rPr>
        <w:t xml:space="preserve">О </w:t>
      </w:r>
      <w:proofErr w:type="gramStart"/>
      <w:r w:rsidRPr="00022679">
        <w:rPr>
          <w:b/>
          <w:bCs/>
          <w:szCs w:val="28"/>
          <w:lang w:eastAsia="ru-RU"/>
        </w:rPr>
        <w:t>заверении списка</w:t>
      </w:r>
      <w:proofErr w:type="gramEnd"/>
      <w:r w:rsidRPr="00022679">
        <w:rPr>
          <w:b/>
          <w:bCs/>
          <w:szCs w:val="28"/>
          <w:lang w:eastAsia="ru-RU"/>
        </w:rPr>
        <w:t xml:space="preserve"> кандидатов в депутаты по одномандатным избирательным округам, выдвинутых избирательным объединением</w:t>
      </w:r>
      <w:r w:rsidR="00A209E2" w:rsidRPr="00A209E2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«</w:t>
      </w:r>
      <w:proofErr w:type="spellStart"/>
      <w:r>
        <w:rPr>
          <w:b/>
          <w:bCs/>
          <w:szCs w:val="28"/>
          <w:lang w:eastAsia="ru-RU"/>
        </w:rPr>
        <w:t>Дятьковское</w:t>
      </w:r>
      <w:proofErr w:type="spellEnd"/>
      <w:r>
        <w:rPr>
          <w:b/>
          <w:bCs/>
          <w:szCs w:val="28"/>
          <w:lang w:eastAsia="ru-RU"/>
        </w:rPr>
        <w:t xml:space="preserve"> местное отделение Брянского регионального отделения Всероссийской политической партии «ЕДИНАЯ РОССИЯ»» на</w:t>
      </w:r>
      <w:r w:rsidR="00A209E2" w:rsidRPr="00A209E2">
        <w:rPr>
          <w:b/>
          <w:bCs/>
          <w:szCs w:val="28"/>
          <w:lang w:eastAsia="ru-RU"/>
        </w:rPr>
        <w:t xml:space="preserve"> дополнительных выбор</w:t>
      </w:r>
      <w:r w:rsidR="001C41B8">
        <w:rPr>
          <w:b/>
          <w:bCs/>
          <w:szCs w:val="28"/>
          <w:lang w:eastAsia="ru-RU"/>
        </w:rPr>
        <w:t>ах</w:t>
      </w:r>
      <w:r w:rsidR="00A209E2" w:rsidRPr="00A209E2">
        <w:rPr>
          <w:b/>
          <w:bCs/>
          <w:szCs w:val="28"/>
          <w:lang w:eastAsia="ru-RU"/>
        </w:rPr>
        <w:t xml:space="preserve">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Ивотского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Ивотскому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одномандатному  избирательному округу № 4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022679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022679">
        <w:t>В соответствии с пунктом 4.1 статьи 20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для заверения списка кандидатов в депутаты по одномандатным избирательным округам, выдвинутых избирательным объединением</w:t>
      </w:r>
      <w:r>
        <w:t xml:space="preserve"> «</w:t>
      </w:r>
      <w:proofErr w:type="spellStart"/>
      <w:r w:rsidRPr="00022679">
        <w:t>Дятьковское</w:t>
      </w:r>
      <w:proofErr w:type="spellEnd"/>
      <w:r w:rsidRPr="00022679">
        <w:t xml:space="preserve"> местное отделение Брянского регионального отделения Всероссийской политической партии «ЕДИНАЯ РОССИЯ»</w:t>
      </w:r>
      <w:r>
        <w:t xml:space="preserve">» </w:t>
      </w:r>
      <w:r w:rsidRPr="00022679">
        <w:t>на дополнительных выбор</w:t>
      </w:r>
      <w:r w:rsidR="001C41B8">
        <w:t>ах</w:t>
      </w:r>
      <w:r w:rsidRPr="00022679">
        <w:t xml:space="preserve"> депутата </w:t>
      </w:r>
      <w:proofErr w:type="spellStart"/>
      <w:r w:rsidRPr="00022679">
        <w:t>Ивотского</w:t>
      </w:r>
      <w:proofErr w:type="spellEnd"/>
      <w:r w:rsidRPr="00022679">
        <w:t xml:space="preserve"> поселкового Совета</w:t>
      </w:r>
      <w:proofErr w:type="gramEnd"/>
      <w:r w:rsidRPr="00022679">
        <w:t xml:space="preserve"> </w:t>
      </w:r>
      <w:proofErr w:type="gramStart"/>
      <w:r w:rsidRPr="00022679">
        <w:t xml:space="preserve">народных депутатов четвертого созыва по </w:t>
      </w:r>
      <w:proofErr w:type="spellStart"/>
      <w:r w:rsidRPr="00022679">
        <w:t>Ивотскому</w:t>
      </w:r>
      <w:proofErr w:type="spellEnd"/>
      <w:r w:rsidRPr="00022679">
        <w:t xml:space="preserve"> одномандатному  избирательному округу № 4</w:t>
      </w:r>
      <w:r w:rsidR="00A209E2">
        <w:t xml:space="preserve">, </w:t>
      </w:r>
      <w:r w:rsidRPr="00022679">
        <w:t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Брянской области «О выборах депутатов представительных органов муниципальных образований в Брянской области» территориальная</w:t>
      </w:r>
      <w:proofErr w:type="gramEnd"/>
      <w:r w:rsidRPr="00022679">
        <w:t xml:space="preserve"> избирательная комиссия</w:t>
      </w:r>
      <w:r>
        <w:t xml:space="preserve"> Дятьковского района</w:t>
      </w:r>
      <w:r w:rsidR="001C41B8">
        <w:t xml:space="preserve"> </w:t>
      </w:r>
      <w:r w:rsidR="001C41B8" w:rsidRPr="001C41B8">
        <w:t xml:space="preserve">с полномочиями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 Избирательной комиссии Брянской области от 10 июня 2022 г. № 9/84-7,</w:t>
      </w:r>
      <w:r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1C41B8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1C41B8" w:rsidRPr="001C41B8">
        <w:rPr>
          <w:b w:val="0"/>
        </w:rPr>
        <w:t>Заверить список кандидатов в депутаты по одномандатным избирательным</w:t>
      </w:r>
      <w:r w:rsidR="001C41B8">
        <w:rPr>
          <w:b w:val="0"/>
        </w:rPr>
        <w:t xml:space="preserve"> </w:t>
      </w:r>
      <w:r w:rsidR="001C41B8" w:rsidRPr="001C41B8">
        <w:rPr>
          <w:b w:val="0"/>
        </w:rPr>
        <w:t>округам, выдвинутых избирательным объединением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«</w:t>
      </w:r>
      <w:proofErr w:type="spellStart"/>
      <w:r w:rsidR="001C41B8" w:rsidRPr="001C41B8">
        <w:rPr>
          <w:b w:val="0"/>
        </w:rPr>
        <w:t>Дятьковское</w:t>
      </w:r>
      <w:proofErr w:type="spellEnd"/>
      <w:r w:rsidR="001C41B8" w:rsidRPr="001C41B8">
        <w:rPr>
          <w:b w:val="0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 w:rsidR="001C41B8">
        <w:rPr>
          <w:b w:val="0"/>
        </w:rPr>
        <w:t xml:space="preserve"> на </w:t>
      </w:r>
      <w:r w:rsidR="00A209E2" w:rsidRPr="00A209E2">
        <w:rPr>
          <w:b w:val="0"/>
        </w:rPr>
        <w:t>дополнительных выбор</w:t>
      </w:r>
      <w:r w:rsidR="001C41B8">
        <w:rPr>
          <w:b w:val="0"/>
        </w:rPr>
        <w:t>ах</w:t>
      </w:r>
      <w:r w:rsidR="00A209E2" w:rsidRPr="00A209E2">
        <w:rPr>
          <w:b w:val="0"/>
        </w:rPr>
        <w:t xml:space="preserve"> депутата</w:t>
      </w:r>
      <w:r w:rsidR="00A209E2">
        <w:rPr>
          <w:b w:val="0"/>
        </w:rPr>
        <w:t xml:space="preserve"> </w:t>
      </w:r>
      <w:proofErr w:type="spellStart"/>
      <w:r w:rsidR="00AA395A" w:rsidRPr="00AA395A">
        <w:rPr>
          <w:b w:val="0"/>
        </w:rPr>
        <w:t>Ивотского</w:t>
      </w:r>
      <w:proofErr w:type="spellEnd"/>
      <w:r w:rsidR="00AA395A" w:rsidRPr="00AA395A">
        <w:rPr>
          <w:b w:val="0"/>
        </w:rPr>
        <w:t xml:space="preserve"> поселкового Совета народных </w:t>
      </w:r>
      <w:r w:rsidR="00AA395A" w:rsidRPr="00AA395A">
        <w:rPr>
          <w:b w:val="0"/>
        </w:rPr>
        <w:lastRenderedPageBreak/>
        <w:t xml:space="preserve">депутатов четвертого созыва по </w:t>
      </w:r>
      <w:proofErr w:type="spellStart"/>
      <w:r w:rsidR="00AA395A" w:rsidRPr="00AA395A">
        <w:rPr>
          <w:b w:val="0"/>
        </w:rPr>
        <w:t>Ивотскому</w:t>
      </w:r>
      <w:proofErr w:type="spellEnd"/>
      <w:r w:rsidR="00AA395A" w:rsidRPr="00AA395A">
        <w:rPr>
          <w:b w:val="0"/>
        </w:rPr>
        <w:t xml:space="preserve"> одномандатному  избирательному округу № 4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в количестве 1 (одного) человека (прилагается)</w:t>
      </w:r>
      <w:r w:rsidR="001C41B8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t xml:space="preserve">2. </w:t>
      </w:r>
      <w:r w:rsidR="001C41B8" w:rsidRPr="001C41B8">
        <w:t xml:space="preserve">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B605F0">
      <w:pPr>
        <w:jc w:val="left"/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Default="001C41B8">
      <w:pPr>
        <w:jc w:val="left"/>
        <w:rPr>
          <w:sz w:val="2"/>
        </w:rPr>
      </w:pPr>
      <w:r>
        <w:rPr>
          <w:sz w:val="2"/>
        </w:rPr>
        <w:br w:type="page"/>
      </w:r>
    </w:p>
    <w:p w:rsidR="001C41B8" w:rsidRPr="00DF5EEF" w:rsidRDefault="001C41B8" w:rsidP="001C41B8">
      <w:pPr>
        <w:jc w:val="right"/>
        <w:rPr>
          <w:sz w:val="24"/>
        </w:rPr>
      </w:pPr>
      <w:r w:rsidRPr="001C41B8">
        <w:rPr>
          <w:sz w:val="24"/>
        </w:rPr>
        <w:lastRenderedPageBreak/>
        <w:t>Приложение 1</w:t>
      </w:r>
    </w:p>
    <w:p w:rsidR="001C41B8" w:rsidRDefault="001C41B8" w:rsidP="001C41B8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1C41B8" w:rsidRPr="002321C4" w:rsidTr="00440D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Default="001C41B8" w:rsidP="00440D1D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Дятьковского района</w:t>
            </w:r>
          </w:p>
          <w:p w:rsidR="001C41B8" w:rsidRDefault="001C41B8" w:rsidP="0044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08.07.2022</w:t>
            </w:r>
            <w:r w:rsidRPr="00580F30">
              <w:rPr>
                <w:sz w:val="24"/>
                <w:szCs w:val="24"/>
              </w:rPr>
              <w:t xml:space="preserve"> года </w:t>
            </w:r>
          </w:p>
          <w:p w:rsidR="001C41B8" w:rsidRPr="00580F30" w:rsidRDefault="001C41B8" w:rsidP="001C41B8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17/1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Pr="002321C4" w:rsidRDefault="001C41B8" w:rsidP="00440D1D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B8" w:rsidRPr="002321C4" w:rsidRDefault="001C41B8" w:rsidP="00440D1D"/>
        </w:tc>
      </w:tr>
    </w:tbl>
    <w:p w:rsidR="001C41B8" w:rsidRPr="009D2F4C" w:rsidRDefault="001C41B8" w:rsidP="001C41B8">
      <w:pPr>
        <w:rPr>
          <w:b/>
        </w:rPr>
      </w:pPr>
    </w:p>
    <w:p w:rsidR="001C41B8" w:rsidRPr="009D2F4C" w:rsidRDefault="001C41B8" w:rsidP="001C41B8">
      <w:pPr>
        <w:jc w:val="center"/>
        <w:rPr>
          <w:b/>
        </w:rPr>
      </w:pPr>
      <w:r w:rsidRPr="009D2F4C">
        <w:rPr>
          <w:b/>
        </w:rPr>
        <w:t>СПИСОК</w:t>
      </w:r>
    </w:p>
    <w:p w:rsidR="001C41B8" w:rsidRPr="001C41B8" w:rsidRDefault="001C41B8" w:rsidP="001C41B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eastAsia="ru-RU"/>
        </w:rPr>
      </w:pPr>
      <w:r w:rsidRPr="001C41B8">
        <w:rPr>
          <w:b/>
          <w:bCs/>
          <w:szCs w:val="24"/>
          <w:lang w:eastAsia="ru-RU"/>
        </w:rPr>
        <w:t>кандидатов в депутаты по одномандатным избирательным округам, выдвинутых избирательным объединением «</w:t>
      </w:r>
      <w:proofErr w:type="spellStart"/>
      <w:r w:rsidRPr="001C41B8">
        <w:rPr>
          <w:b/>
          <w:bCs/>
          <w:szCs w:val="24"/>
          <w:lang w:eastAsia="ru-RU"/>
        </w:rPr>
        <w:t>Дятьковское</w:t>
      </w:r>
      <w:proofErr w:type="spellEnd"/>
      <w:r w:rsidRPr="001C41B8">
        <w:rPr>
          <w:b/>
          <w:bCs/>
          <w:szCs w:val="24"/>
          <w:lang w:eastAsia="ru-RU"/>
        </w:rPr>
        <w:t xml:space="preserve"> местное отделение Брянского регионального отделения Всероссийской политической партии «ЕДИНАЯ РОССИЯ»» </w:t>
      </w:r>
      <w:r w:rsidRPr="001C41B8">
        <w:rPr>
          <w:b/>
          <w:bCs/>
          <w:color w:val="000000" w:themeColor="text1"/>
          <w:szCs w:val="24"/>
          <w:lang w:eastAsia="ru-RU"/>
        </w:rPr>
        <w:t xml:space="preserve">на дополнительных выборах депутата </w:t>
      </w:r>
      <w:proofErr w:type="spellStart"/>
      <w:r w:rsidRPr="001C41B8">
        <w:rPr>
          <w:b/>
          <w:bCs/>
          <w:color w:val="000000" w:themeColor="text1"/>
          <w:szCs w:val="24"/>
          <w:lang w:eastAsia="ru-RU"/>
        </w:rPr>
        <w:t>Ивотского</w:t>
      </w:r>
      <w:proofErr w:type="spellEnd"/>
      <w:r w:rsidRPr="001C41B8">
        <w:rPr>
          <w:b/>
          <w:bCs/>
          <w:color w:val="000000" w:themeColor="text1"/>
          <w:szCs w:val="24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Pr="001C41B8">
        <w:rPr>
          <w:b/>
          <w:bCs/>
          <w:color w:val="000000" w:themeColor="text1"/>
          <w:szCs w:val="24"/>
          <w:lang w:eastAsia="ru-RU"/>
        </w:rPr>
        <w:t>Ивотскому</w:t>
      </w:r>
      <w:proofErr w:type="spellEnd"/>
      <w:r w:rsidRPr="001C41B8">
        <w:rPr>
          <w:b/>
          <w:bCs/>
          <w:color w:val="000000" w:themeColor="text1"/>
          <w:szCs w:val="24"/>
          <w:lang w:eastAsia="ru-RU"/>
        </w:rPr>
        <w:t xml:space="preserve"> одномандатному  избирательному округу № 4</w:t>
      </w:r>
    </w:p>
    <w:p w:rsidR="001C41B8" w:rsidRDefault="001C41B8" w:rsidP="001C41B8">
      <w:pPr>
        <w:jc w:val="center"/>
        <w:rPr>
          <w:b/>
        </w:rPr>
      </w:pPr>
    </w:p>
    <w:p w:rsidR="001C41B8" w:rsidRDefault="001C41B8" w:rsidP="001C41B8">
      <w:pPr>
        <w:jc w:val="center"/>
        <w:rPr>
          <w:b/>
        </w:rPr>
      </w:pPr>
    </w:p>
    <w:p w:rsidR="001C41B8" w:rsidRPr="001C41B8" w:rsidRDefault="001C41B8" w:rsidP="001C41B8">
      <w:pPr>
        <w:keepLines/>
        <w:spacing w:line="360" w:lineRule="auto"/>
        <w:ind w:firstLine="710"/>
        <w:rPr>
          <w:sz w:val="2"/>
        </w:rPr>
      </w:pPr>
      <w:r w:rsidRPr="00EC5621">
        <w:t>1</w:t>
      </w:r>
      <w:r w:rsidRPr="00EC5621">
        <w:rPr>
          <w:szCs w:val="28"/>
        </w:rPr>
        <w:t xml:space="preserve">. </w:t>
      </w:r>
      <w:r>
        <w:rPr>
          <w:szCs w:val="28"/>
        </w:rPr>
        <w:t>Федоров Вадим Николаевич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</w:t>
      </w:r>
      <w:r w:rsidR="00ED2D4D">
        <w:rPr>
          <w:szCs w:val="28"/>
        </w:rPr>
        <w:t xml:space="preserve">18 августа </w:t>
      </w:r>
      <w:bookmarkStart w:id="0" w:name="_GoBack"/>
      <w:bookmarkEnd w:id="0"/>
      <w:r>
        <w:rPr>
          <w:szCs w:val="28"/>
        </w:rPr>
        <w:t>1975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Дятьковский район, поселок </w:t>
      </w:r>
      <w:proofErr w:type="spellStart"/>
      <w:r>
        <w:rPr>
          <w:szCs w:val="28"/>
        </w:rPr>
        <w:t>Ивот</w:t>
      </w:r>
      <w:proofErr w:type="spellEnd"/>
      <w:r>
        <w:rPr>
          <w:szCs w:val="28"/>
        </w:rPr>
        <w:t>, основное место работы или службы (род занятий) – индивидуальный предприниматель.</w:t>
      </w: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3F1881" w:rsidRPr="001C41B8" w:rsidRDefault="003F1881" w:rsidP="001C41B8">
      <w:pPr>
        <w:rPr>
          <w:sz w:val="2"/>
        </w:rPr>
      </w:pPr>
    </w:p>
    <w:sectPr w:rsidR="003F1881" w:rsidRP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B1EE7"/>
    <w:rsid w:val="00395256"/>
    <w:rsid w:val="003A2BD1"/>
    <w:rsid w:val="003F1881"/>
    <w:rsid w:val="004704D1"/>
    <w:rsid w:val="004835C9"/>
    <w:rsid w:val="004E1AB2"/>
    <w:rsid w:val="0057151F"/>
    <w:rsid w:val="006045BC"/>
    <w:rsid w:val="006E748E"/>
    <w:rsid w:val="007251C1"/>
    <w:rsid w:val="00733719"/>
    <w:rsid w:val="00757B13"/>
    <w:rsid w:val="00766935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64B8"/>
    <w:rsid w:val="009902DA"/>
    <w:rsid w:val="009A2127"/>
    <w:rsid w:val="00A04514"/>
    <w:rsid w:val="00A07605"/>
    <w:rsid w:val="00A209E2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ED2D4D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2022-07-06T11:49:00Z</cp:lastPrinted>
  <dcterms:created xsi:type="dcterms:W3CDTF">2022-07-07T13:10:00Z</dcterms:created>
  <dcterms:modified xsi:type="dcterms:W3CDTF">2022-07-07T13:32:00Z</dcterms:modified>
</cp:coreProperties>
</file>