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w:t>
      </w:r>
      <w:bookmarkStart w:id="0" w:name="_GoBack"/>
      <w:bookmarkEnd w:id="0"/>
      <w:r w:rsidRPr="007D13FB">
        <w:rPr>
          <w:rFonts w:ascii="Times New Roman" w:eastAsia="Times New Roman" w:hAnsi="Times New Roman" w:cs="Times New Roman"/>
          <w:sz w:val="24"/>
          <w:szCs w:val="24"/>
          <w:lang w:eastAsia="ru-RU"/>
        </w:rPr>
        <w:t>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1055C4" w:rsidRPr="001055C4">
        <w:rPr>
          <w:rFonts w:ascii="Times New Roman" w:eastAsia="Times New Roman" w:hAnsi="Times New Roman" w:cs="Times New Roman"/>
          <w:b/>
          <w:sz w:val="24"/>
          <w:szCs w:val="24"/>
          <w:lang w:eastAsia="ru-RU"/>
        </w:rPr>
        <w:t>5</w:t>
      </w:r>
      <w:r w:rsidR="00EB739E" w:rsidRPr="001055C4">
        <w:rPr>
          <w:rFonts w:ascii="Times New Roman" w:eastAsia="Times New Roman" w:hAnsi="Times New Roman" w:cs="Times New Roman"/>
          <w:b/>
          <w:sz w:val="24"/>
          <w:szCs w:val="24"/>
          <w:lang w:eastAsia="ru-RU"/>
        </w:rPr>
        <w:t xml:space="preserve"> </w:t>
      </w:r>
      <w:r w:rsidR="00EB739E" w:rsidRPr="00EB739E">
        <w:rPr>
          <w:rFonts w:ascii="Times New Roman" w:eastAsia="Times New Roman" w:hAnsi="Times New Roman" w:cs="Times New Roman"/>
          <w:b/>
          <w:sz w:val="24"/>
          <w:szCs w:val="24"/>
          <w:lang w:eastAsia="ru-RU"/>
        </w:rPr>
        <w:t xml:space="preserve"> </w:t>
      </w:r>
      <w:r w:rsidR="001055C4">
        <w:rPr>
          <w:rFonts w:ascii="Times New Roman" w:eastAsia="Times New Roman" w:hAnsi="Times New Roman" w:cs="Times New Roman"/>
          <w:b/>
          <w:sz w:val="24"/>
          <w:szCs w:val="24"/>
          <w:lang w:eastAsia="ru-RU"/>
        </w:rPr>
        <w:t>июня</w:t>
      </w:r>
      <w:r w:rsidRPr="00EB019F">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2018 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xml:space="preserve">. №36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031" w:type="dxa"/>
        <w:tblLayout w:type="fixed"/>
        <w:tblLook w:val="04A0" w:firstRow="1" w:lastRow="0" w:firstColumn="1" w:lastColumn="0" w:noHBand="0" w:noVBand="1"/>
      </w:tblPr>
      <w:tblGrid>
        <w:gridCol w:w="786"/>
        <w:gridCol w:w="791"/>
        <w:gridCol w:w="1792"/>
        <w:gridCol w:w="1891"/>
        <w:gridCol w:w="907"/>
        <w:gridCol w:w="1265"/>
        <w:gridCol w:w="1247"/>
        <w:gridCol w:w="1352"/>
      </w:tblGrid>
      <w:tr w:rsidR="00F42589" w:rsidTr="00F87C85">
        <w:trPr>
          <w:cantSplit/>
          <w:trHeight w:val="2160"/>
        </w:trPr>
        <w:tc>
          <w:tcPr>
            <w:tcW w:w="786" w:type="dxa"/>
          </w:tcPr>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F42589" w:rsidRPr="00956792" w:rsidRDefault="00F42589"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F42589" w:rsidRPr="00956792" w:rsidRDefault="00F42589"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F42589" w:rsidRPr="00956792" w:rsidRDefault="00F42589"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47" w:type="dxa"/>
          </w:tcPr>
          <w:p w:rsidR="00F42589" w:rsidRPr="00956792"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p>
        </w:tc>
        <w:tc>
          <w:tcPr>
            <w:tcW w:w="1352" w:type="dxa"/>
          </w:tcPr>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F42589" w:rsidRPr="00956792" w:rsidRDefault="00F42589" w:rsidP="007D13FB">
            <w:pPr>
              <w:jc w:val="both"/>
              <w:rPr>
                <w:rFonts w:ascii="Times New Roman" w:eastAsia="Times New Roman" w:hAnsi="Times New Roman" w:cs="Times New Roman"/>
                <w:lang w:eastAsia="ru-RU"/>
              </w:rPr>
            </w:pPr>
          </w:p>
        </w:tc>
      </w:tr>
      <w:tr w:rsidR="00F42589" w:rsidTr="00F87C85">
        <w:tc>
          <w:tcPr>
            <w:tcW w:w="786" w:type="dxa"/>
          </w:tcPr>
          <w:p w:rsidR="00F42589" w:rsidRPr="00790574" w:rsidRDefault="00C64EB2" w:rsidP="007D13FB">
            <w:pPr>
              <w:jc w:val="both"/>
              <w:rPr>
                <w:rFonts w:ascii="Times New Roman" w:eastAsia="Times New Roman" w:hAnsi="Times New Roman" w:cs="Times New Roman"/>
                <w:sz w:val="24"/>
                <w:szCs w:val="24"/>
                <w:lang w:eastAsia="ru-RU"/>
              </w:rPr>
            </w:pPr>
            <w:r w:rsidRPr="00790574">
              <w:rPr>
                <w:rFonts w:ascii="Times New Roman" w:eastAsia="Times New Roman" w:hAnsi="Times New Roman" w:cs="Times New Roman"/>
                <w:sz w:val="24"/>
                <w:szCs w:val="24"/>
                <w:lang w:eastAsia="ru-RU"/>
              </w:rPr>
              <w:t>1.</w:t>
            </w:r>
          </w:p>
        </w:tc>
        <w:tc>
          <w:tcPr>
            <w:tcW w:w="791" w:type="dxa"/>
          </w:tcPr>
          <w:p w:rsidR="00F42589" w:rsidRPr="00790574" w:rsidRDefault="00790574" w:rsidP="00790574">
            <w:pPr>
              <w:jc w:val="center"/>
              <w:rPr>
                <w:rFonts w:ascii="Times New Roman" w:eastAsia="Times New Roman" w:hAnsi="Times New Roman" w:cs="Times New Roman"/>
                <w:sz w:val="24"/>
                <w:szCs w:val="24"/>
                <w:lang w:eastAsia="ru-RU"/>
              </w:rPr>
            </w:pPr>
            <w:r w:rsidRPr="00790574">
              <w:rPr>
                <w:rFonts w:ascii="Times New Roman" w:eastAsia="Times New Roman" w:hAnsi="Times New Roman" w:cs="Times New Roman"/>
                <w:sz w:val="24"/>
                <w:szCs w:val="24"/>
                <w:lang w:eastAsia="ru-RU"/>
              </w:rPr>
              <w:t>9</w:t>
            </w:r>
          </w:p>
        </w:tc>
        <w:tc>
          <w:tcPr>
            <w:tcW w:w="1792" w:type="dxa"/>
          </w:tcPr>
          <w:p w:rsidR="00F42589" w:rsidRDefault="00790574"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905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90574">
              <w:rPr>
                <w:rFonts w:ascii="Times New Roman" w:eastAsia="Times New Roman" w:hAnsi="Times New Roman" w:cs="Times New Roman"/>
                <w:sz w:val="24"/>
                <w:szCs w:val="24"/>
                <w:lang w:eastAsia="ru-RU"/>
              </w:rPr>
              <w:t>Дятьково,</w:t>
            </w:r>
          </w:p>
          <w:p w:rsidR="00790574" w:rsidRPr="00790574" w:rsidRDefault="00790574" w:rsidP="007905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CE08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Ленина, в  районе дома  №188</w:t>
            </w:r>
          </w:p>
        </w:tc>
        <w:tc>
          <w:tcPr>
            <w:tcW w:w="1891" w:type="dxa"/>
          </w:tcPr>
          <w:p w:rsidR="00C64EB2" w:rsidRDefault="00790574" w:rsidP="00C64E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Розн</w:t>
            </w:r>
            <w:r w:rsidR="00CE0892">
              <w:rPr>
                <w:rFonts w:ascii="Times New Roman" w:eastAsia="Times New Roman" w:hAnsi="Times New Roman" w:cs="Times New Roman"/>
                <w:sz w:val="24"/>
                <w:szCs w:val="24"/>
                <w:lang w:eastAsia="ru-RU"/>
              </w:rPr>
              <w:t xml:space="preserve">ичная </w:t>
            </w:r>
            <w:r>
              <w:rPr>
                <w:rFonts w:ascii="Times New Roman" w:eastAsia="Times New Roman" w:hAnsi="Times New Roman" w:cs="Times New Roman"/>
                <w:sz w:val="24"/>
                <w:szCs w:val="24"/>
                <w:lang w:eastAsia="ru-RU"/>
              </w:rPr>
              <w:t xml:space="preserve"> </w:t>
            </w:r>
            <w:r w:rsidR="00CE089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орговля</w:t>
            </w:r>
          </w:p>
          <w:p w:rsidR="00790574" w:rsidRPr="00790574" w:rsidRDefault="00790574" w:rsidP="00C64E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продовольственными товарами</w:t>
            </w:r>
          </w:p>
        </w:tc>
        <w:tc>
          <w:tcPr>
            <w:tcW w:w="907" w:type="dxa"/>
          </w:tcPr>
          <w:p w:rsidR="00F42589" w:rsidRDefault="00790574"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p w:rsidR="00790574" w:rsidRPr="00790574" w:rsidRDefault="00790574" w:rsidP="007D13FB">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265" w:type="dxa"/>
          </w:tcPr>
          <w:p w:rsidR="00F42589"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50400,0</w:t>
            </w:r>
          </w:p>
        </w:tc>
        <w:tc>
          <w:tcPr>
            <w:tcW w:w="1247" w:type="dxa"/>
          </w:tcPr>
          <w:p w:rsidR="00F42589"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10080,0</w:t>
            </w:r>
          </w:p>
        </w:tc>
        <w:tc>
          <w:tcPr>
            <w:tcW w:w="1352" w:type="dxa"/>
          </w:tcPr>
          <w:p w:rsidR="00F42589" w:rsidRPr="00790574" w:rsidRDefault="00CE0892" w:rsidP="00CE089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905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r>
      <w:tr w:rsidR="00F42589" w:rsidTr="00F87C85">
        <w:tc>
          <w:tcPr>
            <w:tcW w:w="786" w:type="dxa"/>
          </w:tcPr>
          <w:p w:rsidR="00F42589" w:rsidRPr="00790574" w:rsidRDefault="00C64EB2" w:rsidP="007D13FB">
            <w:pPr>
              <w:jc w:val="both"/>
              <w:rPr>
                <w:rFonts w:ascii="Times New Roman" w:eastAsia="Times New Roman" w:hAnsi="Times New Roman" w:cs="Times New Roman"/>
                <w:sz w:val="24"/>
                <w:szCs w:val="24"/>
                <w:lang w:eastAsia="ru-RU"/>
              </w:rPr>
            </w:pPr>
            <w:r w:rsidRPr="00790574">
              <w:rPr>
                <w:rFonts w:ascii="Times New Roman" w:eastAsia="Times New Roman" w:hAnsi="Times New Roman" w:cs="Times New Roman"/>
                <w:sz w:val="24"/>
                <w:szCs w:val="24"/>
                <w:lang w:eastAsia="ru-RU"/>
              </w:rPr>
              <w:t>2.</w:t>
            </w:r>
          </w:p>
        </w:tc>
        <w:tc>
          <w:tcPr>
            <w:tcW w:w="791" w:type="dxa"/>
          </w:tcPr>
          <w:p w:rsidR="00F42589" w:rsidRPr="00790574" w:rsidRDefault="00CE0892"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92"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CE0892" w:rsidRPr="00790574" w:rsidRDefault="00CE0892" w:rsidP="00CE089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Щорса, д.31-А</w:t>
            </w:r>
          </w:p>
        </w:tc>
        <w:tc>
          <w:tcPr>
            <w:tcW w:w="1891" w:type="dxa"/>
          </w:tcPr>
          <w:p w:rsidR="00F87C85"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Розничная  торговля продовольственными  товарами</w:t>
            </w:r>
          </w:p>
        </w:tc>
        <w:tc>
          <w:tcPr>
            <w:tcW w:w="907"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p w:rsidR="00CE0892" w:rsidRPr="00790574" w:rsidRDefault="00CE0892" w:rsidP="007D13FB">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p>
        </w:tc>
        <w:tc>
          <w:tcPr>
            <w:tcW w:w="1265" w:type="dxa"/>
          </w:tcPr>
          <w:p w:rsidR="00F42589"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25620,0</w:t>
            </w:r>
          </w:p>
        </w:tc>
        <w:tc>
          <w:tcPr>
            <w:tcW w:w="1247" w:type="dxa"/>
          </w:tcPr>
          <w:p w:rsidR="00F42589" w:rsidRPr="00790574" w:rsidRDefault="004652D7"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5124,0</w:t>
            </w:r>
          </w:p>
        </w:tc>
        <w:tc>
          <w:tcPr>
            <w:tcW w:w="1352" w:type="dxa"/>
          </w:tcPr>
          <w:p w:rsidR="00F42589" w:rsidRPr="00790574" w:rsidRDefault="004652D7"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r>
      <w:tr w:rsidR="00F42589" w:rsidTr="00F87C85">
        <w:tc>
          <w:tcPr>
            <w:tcW w:w="786"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7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792"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8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90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65"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4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352" w:type="dxa"/>
          </w:tcPr>
          <w:p w:rsidR="00F42589" w:rsidRPr="00790574" w:rsidRDefault="00F42589" w:rsidP="007D13FB">
            <w:pPr>
              <w:jc w:val="both"/>
              <w:rPr>
                <w:rFonts w:ascii="Times New Roman" w:eastAsia="Times New Roman" w:hAnsi="Times New Roman" w:cs="Times New Roman"/>
                <w:sz w:val="24"/>
                <w:szCs w:val="24"/>
                <w:lang w:eastAsia="ru-RU"/>
              </w:rPr>
            </w:pPr>
          </w:p>
        </w:tc>
      </w:tr>
      <w:tr w:rsidR="00F42589" w:rsidTr="00F87C85">
        <w:tc>
          <w:tcPr>
            <w:tcW w:w="786"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7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792"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8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90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65"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4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352" w:type="dxa"/>
          </w:tcPr>
          <w:p w:rsidR="00F42589" w:rsidRPr="00790574" w:rsidRDefault="00F42589" w:rsidP="007D13FB">
            <w:pPr>
              <w:jc w:val="both"/>
              <w:rPr>
                <w:rFonts w:ascii="Times New Roman" w:eastAsia="Times New Roman" w:hAnsi="Times New Roman" w:cs="Times New Roman"/>
                <w:sz w:val="24"/>
                <w:szCs w:val="24"/>
                <w:lang w:eastAsia="ru-RU"/>
              </w:rPr>
            </w:pP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w:t>
      </w:r>
      <w:proofErr w:type="gramStart"/>
      <w:r w:rsidR="008B3683" w:rsidRPr="00EB019F">
        <w:rPr>
          <w:rFonts w:ascii="Times New Roman" w:eastAsia="Times New Roman" w:hAnsi="Times New Roman" w:cs="Times New Roman"/>
          <w:sz w:val="24"/>
          <w:szCs w:val="24"/>
          <w:lang w:eastAsia="ru-RU"/>
        </w:rPr>
        <w:t>проведении</w:t>
      </w:r>
      <w:proofErr w:type="gramEnd"/>
      <w:r w:rsidR="008B3683" w:rsidRPr="00EB019F">
        <w:rPr>
          <w:rFonts w:ascii="Times New Roman" w:eastAsia="Times New Roman" w:hAnsi="Times New Roman" w:cs="Times New Roman"/>
          <w:sz w:val="24"/>
          <w:szCs w:val="24"/>
          <w:lang w:eastAsia="ru-RU"/>
        </w:rPr>
        <w:t xml:space="preserve"> аукциона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w:t>
      </w:r>
      <w:r>
        <w:rPr>
          <w:rFonts w:ascii="Times New Roman" w:eastAsia="Times New Roman" w:hAnsi="Times New Roman" w:cs="Times New Roman"/>
          <w:sz w:val="24"/>
          <w:szCs w:val="24"/>
          <w:lang w:eastAsia="ru-RU"/>
        </w:rPr>
        <w:lastRenderedPageBreak/>
        <w:t xml:space="preserve">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D41DCD" w:rsidRPr="00D41DCD" w:rsidRDefault="00D41DCD" w:rsidP="00D41DCD">
      <w:pPr>
        <w:spacing w:after="0" w:line="240" w:lineRule="auto"/>
        <w:jc w:val="both"/>
        <w:rPr>
          <w:rFonts w:ascii="Times New Roman" w:eastAsia="Times New Roman" w:hAnsi="Times New Roman" w:cs="Times New Roman"/>
          <w:sz w:val="24"/>
          <w:szCs w:val="24"/>
          <w:lang w:eastAsia="ru-RU"/>
        </w:rPr>
      </w:pPr>
      <w:r w:rsidRPr="00D41DCD">
        <w:rPr>
          <w:rFonts w:ascii="Times New Roman" w:eastAsia="Times New Roman" w:hAnsi="Times New Roman" w:cs="Times New Roman"/>
          <w:sz w:val="28"/>
          <w:szCs w:val="28"/>
          <w:lang w:eastAsia="ru-RU"/>
        </w:rPr>
        <w:t>    </w:t>
      </w:r>
      <w:proofErr w:type="gramStart"/>
      <w:r w:rsidRPr="00D41DCD">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D41DCD">
        <w:rPr>
          <w:rFonts w:ascii="Times New Roman" w:eastAsia="Times New Roman" w:hAnsi="Times New Roman" w:cs="Times New Roman"/>
          <w:sz w:val="24"/>
          <w:szCs w:val="24"/>
          <w:lang w:eastAsia="ru-RU"/>
        </w:rPr>
        <w:t>Дятьковского</w:t>
      </w:r>
      <w:proofErr w:type="spellEnd"/>
      <w:r w:rsidRPr="00D41DCD">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742BB4">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D41DCD">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D41DCD">
        <w:rPr>
          <w:rFonts w:ascii="Times New Roman" w:eastAsia="Times New Roman" w:hAnsi="Times New Roman" w:cs="Times New Roman"/>
          <w:sz w:val="24"/>
          <w:szCs w:val="24"/>
          <w:lang w:eastAsia="ru-RU"/>
        </w:rPr>
        <w:t>Дятьковского</w:t>
      </w:r>
      <w:proofErr w:type="spellEnd"/>
      <w:r w:rsidRPr="00D41DCD">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D41DCD">
        <w:rPr>
          <w:rFonts w:ascii="Times New Roman" w:eastAsia="Times New Roman" w:hAnsi="Times New Roman" w:cs="Times New Roman"/>
          <w:sz w:val="24"/>
          <w:szCs w:val="24"/>
          <w:lang w:eastAsia="ru-RU"/>
        </w:rPr>
        <w:t xml:space="preserve"> </w:t>
      </w:r>
      <w:proofErr w:type="gramStart"/>
      <w:r w:rsidRPr="00D41DCD">
        <w:rPr>
          <w:rFonts w:ascii="Times New Roman" w:eastAsia="Times New Roman" w:hAnsi="Times New Roman" w:cs="Times New Roman"/>
          <w:sz w:val="24"/>
          <w:szCs w:val="24"/>
          <w:lang w:eastAsia="ru-RU"/>
        </w:rPr>
        <w:t xml:space="preserve">сообщения о проведении аукциона </w:t>
      </w:r>
      <w:r w:rsidRPr="00742BB4">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D41DCD">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r w:rsidRPr="00742BB4">
        <w:rPr>
          <w:rFonts w:ascii="Times New Roman" w:eastAsia="Times New Roman" w:hAnsi="Times New Roman" w:cs="Times New Roman"/>
          <w:b/>
          <w:sz w:val="24"/>
          <w:szCs w:val="24"/>
          <w:lang w:eastAsia="ru-RU"/>
        </w:rPr>
        <w:t>копии документов, удостоверяющих личность</w:t>
      </w:r>
      <w:r w:rsidRPr="00D41DCD">
        <w:rPr>
          <w:rFonts w:ascii="Times New Roman" w:eastAsia="Times New Roman" w:hAnsi="Times New Roman" w:cs="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w:t>
      </w:r>
      <w:proofErr w:type="gramEnd"/>
      <w:r w:rsidRPr="00D41DCD">
        <w:rPr>
          <w:rFonts w:ascii="Times New Roman" w:eastAsia="Times New Roman" w:hAnsi="Times New Roman" w:cs="Times New Roman"/>
          <w:sz w:val="24"/>
          <w:szCs w:val="24"/>
          <w:lang w:eastAsia="ru-RU"/>
        </w:rPr>
        <w:t xml:space="preserve"> до дня размещения на официальном сайте администрации </w:t>
      </w:r>
      <w:proofErr w:type="spellStart"/>
      <w:r w:rsidRPr="00D41DCD">
        <w:rPr>
          <w:rFonts w:ascii="Times New Roman" w:eastAsia="Times New Roman" w:hAnsi="Times New Roman" w:cs="Times New Roman"/>
          <w:sz w:val="24"/>
          <w:szCs w:val="24"/>
          <w:lang w:eastAsia="ru-RU"/>
        </w:rPr>
        <w:t>Дятьковского</w:t>
      </w:r>
      <w:proofErr w:type="spellEnd"/>
      <w:r w:rsidRPr="00D41DCD">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w:t>
      </w:r>
      <w:proofErr w:type="gramStart"/>
      <w:r w:rsidRPr="00D41DCD">
        <w:rPr>
          <w:rFonts w:ascii="Times New Roman" w:eastAsia="Times New Roman" w:hAnsi="Times New Roman" w:cs="Times New Roman"/>
          <w:sz w:val="24"/>
          <w:szCs w:val="24"/>
          <w:lang w:eastAsia="ru-RU"/>
        </w:rPr>
        <w:t>ии ау</w:t>
      </w:r>
      <w:proofErr w:type="gramEnd"/>
      <w:r w:rsidRPr="00D41DCD">
        <w:rPr>
          <w:rFonts w:ascii="Times New Roman" w:eastAsia="Times New Roman" w:hAnsi="Times New Roman" w:cs="Times New Roman"/>
          <w:sz w:val="24"/>
          <w:szCs w:val="24"/>
          <w:lang w:eastAsia="ru-RU"/>
        </w:rPr>
        <w:t>кциона;</w:t>
      </w:r>
    </w:p>
    <w:p w:rsidR="00D41DCD" w:rsidRPr="00D41DCD" w:rsidRDefault="00D41DCD" w:rsidP="00D41DCD">
      <w:pPr>
        <w:spacing w:after="0" w:line="240" w:lineRule="auto"/>
        <w:jc w:val="both"/>
        <w:rPr>
          <w:rFonts w:ascii="Times New Roman" w:eastAsia="Times New Roman" w:hAnsi="Times New Roman" w:cs="Times New Roman"/>
          <w:sz w:val="24"/>
          <w:szCs w:val="24"/>
          <w:lang w:eastAsia="ru-RU"/>
        </w:rPr>
      </w:pPr>
      <w:r w:rsidRPr="00D41DCD">
        <w:rPr>
          <w:rFonts w:ascii="Times New Roman" w:eastAsia="Times New Roman" w:hAnsi="Times New Roman" w:cs="Times New Roman"/>
          <w:sz w:val="24"/>
          <w:szCs w:val="24"/>
          <w:lang w:eastAsia="ru-RU"/>
        </w:rPr>
        <w:t xml:space="preserve">    - документ, подтверждающий полномочия лица на осуществление действий от имени </w:t>
      </w:r>
      <w:r w:rsidR="00577B60">
        <w:rPr>
          <w:rFonts w:ascii="Times New Roman" w:eastAsia="Times New Roman" w:hAnsi="Times New Roman" w:cs="Times New Roman"/>
          <w:sz w:val="24"/>
          <w:szCs w:val="24"/>
          <w:lang w:eastAsia="ru-RU"/>
        </w:rPr>
        <w:t>П</w:t>
      </w:r>
      <w:r w:rsidRPr="00D41DCD">
        <w:rPr>
          <w:rFonts w:ascii="Times New Roman" w:eastAsia="Times New Roman" w:hAnsi="Times New Roman" w:cs="Times New Roman"/>
          <w:sz w:val="24"/>
          <w:szCs w:val="24"/>
          <w:lang w:eastAsia="ru-RU"/>
        </w:rPr>
        <w:t>ретендента</w:t>
      </w:r>
      <w:r w:rsidR="00577B60">
        <w:rPr>
          <w:rFonts w:ascii="Times New Roman" w:eastAsia="Times New Roman" w:hAnsi="Times New Roman" w:cs="Times New Roman"/>
          <w:sz w:val="24"/>
          <w:szCs w:val="24"/>
          <w:lang w:eastAsia="ru-RU"/>
        </w:rPr>
        <w:t>, в  случае  если  документы представляются  представителем</w:t>
      </w:r>
      <w:r w:rsidRPr="00D41DCD">
        <w:rPr>
          <w:rFonts w:ascii="Times New Roman" w:eastAsia="Times New Roman" w:hAnsi="Times New Roman" w:cs="Times New Roman"/>
          <w:sz w:val="24"/>
          <w:szCs w:val="24"/>
          <w:lang w:eastAsia="ru-RU"/>
        </w:rPr>
        <w:t>;</w:t>
      </w:r>
    </w:p>
    <w:p w:rsidR="00D41DCD" w:rsidRPr="00D41DCD" w:rsidRDefault="00D41DCD" w:rsidP="00D41DCD">
      <w:pPr>
        <w:spacing w:after="0" w:line="240" w:lineRule="auto"/>
        <w:jc w:val="both"/>
        <w:rPr>
          <w:rFonts w:ascii="Times New Roman" w:eastAsia="Times New Roman" w:hAnsi="Times New Roman" w:cs="Times New Roman"/>
          <w:sz w:val="24"/>
          <w:szCs w:val="24"/>
          <w:lang w:eastAsia="ru-RU"/>
        </w:rPr>
      </w:pPr>
      <w:r w:rsidRPr="00D41DC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D41DCD">
        <w:rPr>
          <w:rFonts w:ascii="Times New Roman" w:eastAsia="Times New Roman" w:hAnsi="Times New Roman" w:cs="Times New Roman"/>
          <w:sz w:val="24"/>
          <w:szCs w:val="24"/>
          <w:lang w:eastAsia="ru-RU"/>
        </w:rPr>
        <w:t xml:space="preserve"> документы, подтверждающие соответствие </w:t>
      </w:r>
      <w:r w:rsidR="00577B60">
        <w:rPr>
          <w:rFonts w:ascii="Times New Roman" w:eastAsia="Times New Roman" w:hAnsi="Times New Roman" w:cs="Times New Roman"/>
          <w:sz w:val="24"/>
          <w:szCs w:val="24"/>
          <w:lang w:eastAsia="ru-RU"/>
        </w:rPr>
        <w:t>П</w:t>
      </w:r>
      <w:r w:rsidRPr="00D41DCD">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Default="00D41DCD" w:rsidP="00D41DCD">
      <w:pPr>
        <w:spacing w:after="0" w:line="240" w:lineRule="auto"/>
        <w:jc w:val="both"/>
        <w:rPr>
          <w:rFonts w:ascii="Times New Roman" w:eastAsia="Times New Roman" w:hAnsi="Times New Roman" w:cs="Times New Roman"/>
          <w:sz w:val="24"/>
          <w:szCs w:val="24"/>
          <w:lang w:eastAsia="ru-RU"/>
        </w:rPr>
      </w:pPr>
      <w:r w:rsidRPr="00D41DCD">
        <w:rPr>
          <w:rFonts w:ascii="Times New Roman" w:eastAsia="Times New Roman" w:hAnsi="Times New Roman" w:cs="Times New Roman"/>
          <w:sz w:val="24"/>
          <w:szCs w:val="24"/>
          <w:lang w:eastAsia="ru-RU"/>
        </w:rPr>
        <w:t xml:space="preserve">    -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
    <w:p w:rsidR="00D41DCD" w:rsidRDefault="00D41DCD"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1DCD">
        <w:rPr>
          <w:rFonts w:ascii="Times New Roman" w:eastAsia="Times New Roman" w:hAnsi="Times New Roman" w:cs="Times New Roman"/>
          <w:sz w:val="24"/>
          <w:szCs w:val="24"/>
          <w:lang w:eastAsia="ru-RU"/>
        </w:rPr>
        <w:t xml:space="preserve">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Pr>
          <w:rFonts w:ascii="Times New Roman" w:eastAsia="Times New Roman" w:hAnsi="Times New Roman" w:cs="Times New Roman"/>
          <w:sz w:val="24"/>
          <w:szCs w:val="24"/>
          <w:lang w:eastAsia="ru-RU"/>
        </w:rPr>
        <w:t>отчетный  период</w:t>
      </w:r>
      <w:r w:rsidR="00577B60">
        <w:rPr>
          <w:rFonts w:ascii="Times New Roman" w:eastAsia="Times New Roman" w:hAnsi="Times New Roman" w:cs="Times New Roman"/>
          <w:sz w:val="24"/>
          <w:szCs w:val="24"/>
          <w:lang w:eastAsia="ru-RU"/>
        </w:rPr>
        <w:t xml:space="preserve">  на  день  подачи  заявления;</w:t>
      </w:r>
    </w:p>
    <w:p w:rsidR="00577B60" w:rsidRDefault="00577B60"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оригинал  платежного документа,  подтверждающего  внесение  задатка;</w:t>
      </w:r>
    </w:p>
    <w:p w:rsidR="00577B60" w:rsidRDefault="00577B60"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Default="00577B60"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при  наличии) и  заверены  подписью  Претендента (или  его  уполномоченного  представителя).</w:t>
      </w:r>
    </w:p>
    <w:p w:rsidR="00577B60" w:rsidRDefault="00577B60"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DE012C">
        <w:rPr>
          <w:rFonts w:ascii="Times New Roman" w:eastAsia="Times New Roman" w:hAnsi="Times New Roman" w:cs="Times New Roman"/>
          <w:b/>
          <w:sz w:val="24"/>
          <w:szCs w:val="24"/>
          <w:lang w:eastAsia="ru-RU"/>
        </w:rPr>
        <w:t>10</w:t>
      </w:r>
      <w:r w:rsidR="000272A2" w:rsidRPr="000272A2">
        <w:rPr>
          <w:rFonts w:ascii="Times New Roman" w:eastAsia="Times New Roman" w:hAnsi="Times New Roman" w:cs="Times New Roman"/>
          <w:b/>
          <w:sz w:val="24"/>
          <w:szCs w:val="24"/>
          <w:lang w:eastAsia="ru-RU"/>
        </w:rPr>
        <w:t xml:space="preserve"> </w:t>
      </w:r>
      <w:r w:rsidR="00EB739E">
        <w:rPr>
          <w:rFonts w:ascii="Times New Roman" w:eastAsia="Times New Roman" w:hAnsi="Times New Roman" w:cs="Times New Roman"/>
          <w:b/>
          <w:sz w:val="24"/>
          <w:szCs w:val="24"/>
          <w:lang w:eastAsia="ru-RU"/>
        </w:rPr>
        <w:t>мая</w:t>
      </w:r>
      <w:r w:rsidR="000272A2" w:rsidRPr="000272A2">
        <w:rPr>
          <w:rFonts w:ascii="Times New Roman" w:eastAsia="Times New Roman" w:hAnsi="Times New Roman" w:cs="Times New Roman"/>
          <w:b/>
          <w:sz w:val="24"/>
          <w:szCs w:val="24"/>
          <w:lang w:eastAsia="ru-RU"/>
        </w:rPr>
        <w:t xml:space="preserve">  2018г.  по </w:t>
      </w:r>
      <w:r w:rsidR="00DE012C">
        <w:rPr>
          <w:rFonts w:ascii="Times New Roman" w:eastAsia="Times New Roman" w:hAnsi="Times New Roman" w:cs="Times New Roman"/>
          <w:b/>
          <w:sz w:val="24"/>
          <w:szCs w:val="24"/>
          <w:lang w:eastAsia="ru-RU"/>
        </w:rPr>
        <w:t>30</w:t>
      </w:r>
      <w:r w:rsidR="00EB739E">
        <w:rPr>
          <w:rFonts w:ascii="Times New Roman" w:eastAsia="Times New Roman" w:hAnsi="Times New Roman" w:cs="Times New Roman"/>
          <w:b/>
          <w:sz w:val="24"/>
          <w:szCs w:val="24"/>
          <w:lang w:eastAsia="ru-RU"/>
        </w:rPr>
        <w:t xml:space="preserve">  </w:t>
      </w:r>
      <w:r w:rsidR="00DE012C">
        <w:rPr>
          <w:rFonts w:ascii="Times New Roman" w:eastAsia="Times New Roman" w:hAnsi="Times New Roman" w:cs="Times New Roman"/>
          <w:b/>
          <w:sz w:val="24"/>
          <w:szCs w:val="24"/>
          <w:lang w:eastAsia="ru-RU"/>
        </w:rPr>
        <w:t xml:space="preserve">мая </w:t>
      </w:r>
      <w:r w:rsidR="00EB739E">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2018г.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FC3375"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конверт  с заявкой на  участие  в аукцион,  поступивший  в  срок, указанный  в  извещении,   регистрируется  в  журнале  регистрации  заявок.</w:t>
      </w:r>
    </w:p>
    <w:p w:rsidR="00FC3375"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Претендента,  подавшего  заявку,  регистратор выдает  расписку в  получении такой  заявки  с  указанием  даты  и времени её  получения.</w:t>
      </w:r>
    </w:p>
    <w:p w:rsidR="009C3761"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FC3375"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Аукционная  комиссия </w:t>
      </w:r>
      <w:r w:rsidR="000260C9">
        <w:rPr>
          <w:rFonts w:ascii="Times New Roman" w:eastAsia="Times New Roman" w:hAnsi="Times New Roman" w:cs="Times New Roman"/>
          <w:sz w:val="24"/>
          <w:szCs w:val="24"/>
          <w:lang w:eastAsia="ru-RU"/>
        </w:rPr>
        <w:t>отказывает  Претенденту  в  допуске к  участию  в аукционе в  случаях:</w:t>
      </w:r>
      <w:r w:rsidR="00FC3375">
        <w:rPr>
          <w:rFonts w:ascii="Times New Roman" w:eastAsia="Times New Roman" w:hAnsi="Times New Roman" w:cs="Times New Roman"/>
          <w:sz w:val="24"/>
          <w:szCs w:val="24"/>
          <w:lang w:eastAsia="ru-RU"/>
        </w:rPr>
        <w:t xml:space="preserve">  </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260C9">
        <w:rPr>
          <w:rFonts w:ascii="Times New Roman" w:eastAsia="Times New Roman" w:hAnsi="Times New Roman" w:cs="Times New Roman"/>
          <w:sz w:val="24"/>
          <w:szCs w:val="24"/>
          <w:lang w:eastAsia="ru-RU"/>
        </w:rPr>
        <w:t>непредставление документов, указанных в информационном сообщении о проведен</w:t>
      </w:r>
      <w:proofErr w:type="gramStart"/>
      <w:r w:rsidRPr="000260C9">
        <w:rPr>
          <w:rFonts w:ascii="Times New Roman" w:eastAsia="Times New Roman" w:hAnsi="Times New Roman" w:cs="Times New Roman"/>
          <w:sz w:val="24"/>
          <w:szCs w:val="24"/>
          <w:lang w:eastAsia="ru-RU"/>
        </w:rPr>
        <w:t>ии ау</w:t>
      </w:r>
      <w:proofErr w:type="gramEnd"/>
      <w:r w:rsidRPr="000260C9">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0260C9" w:rsidRP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260C9">
        <w:rPr>
          <w:rFonts w:ascii="Times New Roman" w:eastAsia="Times New Roman" w:hAnsi="Times New Roman" w:cs="Times New Roman"/>
          <w:sz w:val="24"/>
          <w:szCs w:val="24"/>
          <w:lang w:eastAsia="ru-RU"/>
        </w:rPr>
        <w:t>2) несоответствие требованиям, установленным в соответствии с разделом 4  Положения</w:t>
      </w:r>
      <w:r>
        <w:rPr>
          <w:rFonts w:ascii="Times New Roman" w:eastAsia="Times New Roman" w:hAnsi="Times New Roman" w:cs="Times New Roman"/>
          <w:sz w:val="24"/>
          <w:szCs w:val="24"/>
          <w:lang w:eastAsia="ru-RU"/>
        </w:rPr>
        <w:t xml:space="preserve">  об  аукционе</w:t>
      </w:r>
      <w:r w:rsidRPr="000260C9">
        <w:rPr>
          <w:rFonts w:ascii="Times New Roman" w:eastAsia="Times New Roman" w:hAnsi="Times New Roman" w:cs="Times New Roman"/>
          <w:sz w:val="24"/>
          <w:szCs w:val="24"/>
          <w:lang w:eastAsia="ru-RU"/>
        </w:rPr>
        <w:t>;</w:t>
      </w:r>
    </w:p>
    <w:p w:rsidR="000260C9" w:rsidRP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260C9">
        <w:rPr>
          <w:rFonts w:ascii="Times New Roman" w:eastAsia="Times New Roman" w:hAnsi="Times New Roman" w:cs="Times New Roman"/>
          <w:sz w:val="24"/>
          <w:szCs w:val="24"/>
          <w:lang w:eastAsia="ru-RU"/>
        </w:rPr>
        <w:t>3) заявка подписана лицом, не уполномоченным претендентом на осуществление таких действий;</w:t>
      </w:r>
    </w:p>
    <w:p w:rsidR="000260C9" w:rsidRP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0260C9">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260C9">
        <w:rPr>
          <w:rFonts w:ascii="Times New Roman" w:eastAsia="Times New Roman" w:hAnsi="Times New Roman" w:cs="Times New Roman"/>
          <w:sz w:val="24"/>
          <w:szCs w:val="24"/>
          <w:lang w:eastAsia="ru-RU"/>
        </w:rPr>
        <w:t>5) несоответствие заявки на участие в аукционе требованиям информационного сообщения о проведен</w:t>
      </w:r>
      <w:proofErr w:type="gramStart"/>
      <w:r w:rsidRPr="000260C9">
        <w:rPr>
          <w:rFonts w:ascii="Times New Roman" w:eastAsia="Times New Roman" w:hAnsi="Times New Roman" w:cs="Times New Roman"/>
          <w:sz w:val="24"/>
          <w:szCs w:val="24"/>
          <w:lang w:eastAsia="ru-RU"/>
        </w:rPr>
        <w:t>ии ау</w:t>
      </w:r>
      <w:proofErr w:type="gramEnd"/>
      <w:r w:rsidRPr="000260C9">
        <w:rPr>
          <w:rFonts w:ascii="Times New Roman" w:eastAsia="Times New Roman" w:hAnsi="Times New Roman" w:cs="Times New Roman"/>
          <w:sz w:val="24"/>
          <w:szCs w:val="24"/>
          <w:lang w:eastAsia="ru-RU"/>
        </w:rPr>
        <w:t>кциона</w:t>
      </w:r>
      <w:r>
        <w:rPr>
          <w:rFonts w:ascii="Times New Roman" w:eastAsia="Times New Roman" w:hAnsi="Times New Roman" w:cs="Times New Roman"/>
          <w:sz w:val="24"/>
          <w:szCs w:val="24"/>
          <w:lang w:eastAsia="ru-RU"/>
        </w:rPr>
        <w:t>;</w:t>
      </w:r>
    </w:p>
    <w:p w:rsid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не  соответствия</w:t>
      </w:r>
      <w:proofErr w:type="gramEnd"/>
      <w:r>
        <w:rPr>
          <w:rFonts w:ascii="Times New Roman" w:eastAsia="Times New Roman" w:hAnsi="Times New Roman" w:cs="Times New Roman"/>
          <w:sz w:val="24"/>
          <w:szCs w:val="24"/>
          <w:lang w:eastAsia="ru-RU"/>
        </w:rPr>
        <w:t xml:space="preserve">  заявки  Схеме.</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EE5769" w:rsidRDefault="0074319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принятия  решения  о  допуске  Претендента</w:t>
      </w:r>
      <w:r w:rsidR="00EE57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к участию в аукционе</w:t>
      </w:r>
      <w:r w:rsidR="00EE5769">
        <w:rPr>
          <w:rFonts w:ascii="Times New Roman" w:eastAsia="Times New Roman" w:hAnsi="Times New Roman" w:cs="Times New Roman"/>
          <w:sz w:val="24"/>
          <w:szCs w:val="24"/>
          <w:lang w:eastAsia="ru-RU"/>
        </w:rPr>
        <w:t>.</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p>
    <w:p w:rsidR="00D5563C" w:rsidRDefault="00D5563C"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начинается  с  оглашения  председателем  Аукционной  комиссии наименования  лота, его характеристики,  начальной  цены  и «шага  аукциона», номеров карточек  участников  аукциона по  данному  лоту.</w:t>
      </w:r>
    </w:p>
    <w:p w:rsidR="00743196" w:rsidRDefault="00D5563C"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проведения  аукциона по  данному  лоту его  участникам  запрещается  покидать  зал  проведения аукциона и  пользоваться  мобильной  связью.  Участник, нарушивший  данное  правило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снимается  с  аукционистом  с  аукциона.</w:t>
      </w:r>
    </w:p>
    <w:p w:rsidR="00D5563C" w:rsidRDefault="00D5563C"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аукциона  заявляют  о  намерении приобрести право на  размещение нестационарного торгового объекта по  текущей  цене  лота поднятием карточек с  индивидуальным  н</w:t>
      </w:r>
      <w:r w:rsidR="00A75B4D">
        <w:rPr>
          <w:rFonts w:ascii="Times New Roman" w:eastAsia="Times New Roman" w:hAnsi="Times New Roman" w:cs="Times New Roman"/>
          <w:sz w:val="24"/>
          <w:szCs w:val="24"/>
          <w:lang w:eastAsia="ru-RU"/>
        </w:rPr>
        <w:t xml:space="preserve">омерами,  при  этом  предложения </w:t>
      </w:r>
      <w:r w:rsidR="00F875F8">
        <w:rPr>
          <w:rFonts w:ascii="Times New Roman" w:eastAsia="Times New Roman" w:hAnsi="Times New Roman" w:cs="Times New Roman"/>
          <w:sz w:val="24"/>
          <w:szCs w:val="24"/>
          <w:lang w:eastAsia="ru-RU"/>
        </w:rPr>
        <w:t>каждого  участника  аукциона  по цене лота  фиксируются  секретарем  комиссии в  проведения  аукциона.</w:t>
      </w:r>
    </w:p>
    <w:p w:rsidR="00F875F8" w:rsidRDefault="00F875F8"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Каждую  последующую  цену  лота председатель  комиссии  назначает путем  увеличения  текущей цены  лота  на  «шаг  аукциона». После  объявления очередной цены  лота председатель  комиссии называет индивидуальный  номер карточки  участника  аукциона,  который  первым  поднял  карточку.</w:t>
      </w:r>
    </w:p>
    <w:p w:rsidR="00F875F8" w:rsidRDefault="00F875F8"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отсутствии участников  аукциона, готовых  приобрести право на  размещение нестационарного  торгового  объекта  по текущей  цене лота,  председатель комиссии  повторяет  цену  три  раза.</w:t>
      </w:r>
    </w:p>
    <w:p w:rsidR="000654B6" w:rsidRDefault="00F875F8"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Аукцион  считается  завершенным после трехкратного объявления председателем  комиссии  очередной цены  лота,  после которого ни  один  из  участников </w:t>
      </w:r>
      <w:r w:rsidR="000654B6">
        <w:rPr>
          <w:rFonts w:ascii="Times New Roman" w:eastAsia="Times New Roman" w:hAnsi="Times New Roman" w:cs="Times New Roman"/>
          <w:sz w:val="24"/>
          <w:szCs w:val="24"/>
          <w:lang w:eastAsia="ru-RU"/>
        </w:rPr>
        <w:t>аукциона е  поднял  карточку  с  индивидуальным  номером.</w:t>
      </w:r>
    </w:p>
    <w:p w:rsidR="000654B6" w:rsidRDefault="000654B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аукциона  по  данному  лоту  признается участник  аукциона, предложивший  наибольшую  цену  лота,  при  которой аукцион  завершился.</w:t>
      </w:r>
    </w:p>
    <w:p w:rsidR="00F875F8" w:rsidRDefault="000654B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случае председатель  комиссии объявляет  об  окончании проведения  аукциона  по  данному  лоту, последнее и  предпоследнее   предложения о  цене лота,  номер  карточки  победителя аукциона  и  участника  аукциона, сделавшего  предпоследние предложение  о  цене  лота.</w:t>
      </w:r>
    </w:p>
    <w:p w:rsidR="000654B6" w:rsidRDefault="000654B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w:t>
      </w:r>
      <w:r w:rsidR="004F78F9">
        <w:rPr>
          <w:rFonts w:ascii="Times New Roman" w:eastAsia="Times New Roman" w:hAnsi="Times New Roman" w:cs="Times New Roman"/>
          <w:sz w:val="24"/>
          <w:szCs w:val="24"/>
          <w:lang w:eastAsia="ru-RU"/>
        </w:rPr>
        <w:t>после  трехкратного  объявления  начальной цены  лота ни  один из  участников  аукциона не  поднял  карточку с  индивидуальным  номером,  аукцион  признается  не состоявшемся,  о  чем  указывается в  протоколе проведения  аукциона. Решение  о  признании такого  аукциона несостоявшемся  объявляется  председателем  комиссии.</w:t>
      </w:r>
    </w:p>
    <w:p w:rsidR="004F78F9" w:rsidRDefault="004F78F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после  объявления  победителя аукциона организатору  аукциона   станут  известны  факты несоответствия  победителя  аукциона  требованиям  к участникам  аукци</w:t>
      </w:r>
      <w:r w:rsidR="00A5592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 установленным  организаторам  ау</w:t>
      </w:r>
      <w:r w:rsidR="00A5592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циона,</w:t>
      </w:r>
      <w:r w:rsidR="00AE33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решение  аукционной  комиссии о  признании такого  </w:t>
      </w:r>
      <w:r w:rsidR="00AE3343">
        <w:rPr>
          <w:rFonts w:ascii="Times New Roman" w:eastAsia="Times New Roman" w:hAnsi="Times New Roman" w:cs="Times New Roman"/>
          <w:sz w:val="24"/>
          <w:szCs w:val="24"/>
          <w:lang w:eastAsia="ru-RU"/>
        </w:rPr>
        <w:t>участника  победителем  аукциона подлежит  отмене,  право на  размещение нестационарного торгового объекта  переходит  к  участнику аукциона  занявшим  второе  место (сделавшему  предпоследнее  предложение).</w:t>
      </w:r>
    </w:p>
    <w:p w:rsidR="000F3078" w:rsidRDefault="00AE3343" w:rsidP="000F3078">
      <w:pPr>
        <w:spacing w:after="0"/>
        <w:jc w:val="both"/>
        <w:rPr>
          <w:rFonts w:ascii="Times New Roman" w:eastAsia="Calibri" w:hAnsi="Times New Roman"/>
        </w:rPr>
      </w:pPr>
      <w:r>
        <w:rPr>
          <w:rFonts w:ascii="Times New Roman" w:eastAsia="Times New Roman" w:hAnsi="Times New Roman" w:cs="Times New Roman"/>
          <w:sz w:val="24"/>
          <w:szCs w:val="24"/>
          <w:lang w:eastAsia="ru-RU"/>
        </w:rPr>
        <w:t xml:space="preserve">Информация о  результатах  аукциона  и  о  лицах,  получивших право  на  размещение нестационарного  торгового  объекта,  официально  публикуется организатором  аукциона  и  размещается  на  официальном  сайте  администрации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w:t>
      </w:r>
      <w:r w:rsidR="000F3078">
        <w:rPr>
          <w:rFonts w:ascii="Times New Roman" w:eastAsia="Times New Roman" w:hAnsi="Times New Roman" w:cs="Times New Roman"/>
          <w:sz w:val="24"/>
          <w:szCs w:val="24"/>
          <w:lang w:eastAsia="ru-RU"/>
        </w:rPr>
        <w:t xml:space="preserve"> </w:t>
      </w:r>
      <w:r w:rsidR="000F3078" w:rsidRPr="004A3746">
        <w:rPr>
          <w:rFonts w:ascii="Times New Roman" w:eastAsia="Calibri" w:hAnsi="Times New Roman"/>
        </w:rPr>
        <w:t>http://admindtk.ru</w:t>
      </w:r>
      <w:r w:rsidR="000F3078">
        <w:rPr>
          <w:rFonts w:ascii="Times New Roman" w:eastAsia="Calibri" w:hAnsi="Times New Roman"/>
        </w:rPr>
        <w:t xml:space="preserve"> в информационно-телекоммуникационной  сети  «Интернет» в  течени</w:t>
      </w:r>
      <w:proofErr w:type="gramStart"/>
      <w:r w:rsidR="000F3078">
        <w:rPr>
          <w:rFonts w:ascii="Times New Roman" w:eastAsia="Calibri" w:hAnsi="Times New Roman"/>
        </w:rPr>
        <w:t>и</w:t>
      </w:r>
      <w:proofErr w:type="gramEnd"/>
      <w:r w:rsidR="000F3078">
        <w:rPr>
          <w:rFonts w:ascii="Times New Roman" w:eastAsia="Calibri" w:hAnsi="Times New Roman"/>
        </w:rPr>
        <w:t xml:space="preserve">  10 рабочих  дней  со  дня проведения аукциона.</w:t>
      </w:r>
    </w:p>
    <w:p w:rsidR="000F3078" w:rsidRDefault="000F3078" w:rsidP="000F3078">
      <w:pPr>
        <w:spacing w:after="0"/>
        <w:jc w:val="both"/>
        <w:rPr>
          <w:rFonts w:ascii="Times New Roman" w:eastAsia="Calibri" w:hAnsi="Times New Roman"/>
        </w:rPr>
      </w:pPr>
      <w:r>
        <w:rPr>
          <w:rFonts w:ascii="Times New Roman" w:eastAsia="Calibri" w:hAnsi="Times New Roman"/>
        </w:rPr>
        <w:tab/>
        <w:t>Цена  приобретения  права  на  размещение нестационарного  торгового  объекта</w:t>
      </w:r>
      <w:proofErr w:type="gramStart"/>
      <w:r>
        <w:rPr>
          <w:rFonts w:ascii="Times New Roman" w:eastAsia="Calibri" w:hAnsi="Times New Roman"/>
        </w:rPr>
        <w:t xml:space="preserve"> ,</w:t>
      </w:r>
      <w:proofErr w:type="gramEnd"/>
      <w:r>
        <w:rPr>
          <w:rFonts w:ascii="Times New Roman" w:eastAsia="Calibri" w:hAnsi="Times New Roman"/>
        </w:rPr>
        <w:t xml:space="preserve">  установившаяся  по  результатам аукциона,  является  платой  за  весь  срок  размещения  нестационарного  торгового  объекта.</w:t>
      </w:r>
    </w:p>
    <w:p w:rsidR="000F3078" w:rsidRDefault="000F3078" w:rsidP="000F3078">
      <w:pPr>
        <w:spacing w:after="0"/>
        <w:jc w:val="both"/>
        <w:rPr>
          <w:rFonts w:ascii="Times New Roman" w:eastAsia="Calibri" w:hAnsi="Times New Roman"/>
        </w:rPr>
      </w:pPr>
      <w:r>
        <w:rPr>
          <w:rFonts w:ascii="Times New Roman" w:eastAsia="Calibri" w:hAnsi="Times New Roman"/>
        </w:rPr>
        <w:tab/>
        <w:t>Шаг  аукциона  устанавливается  -  в  размере 5 процентов  начальной  стоимости  лота.</w:t>
      </w:r>
    </w:p>
    <w:p w:rsidR="000F3078" w:rsidRDefault="000F3078" w:rsidP="000F3078">
      <w:pPr>
        <w:spacing w:after="0"/>
        <w:jc w:val="both"/>
        <w:rPr>
          <w:rFonts w:ascii="Times New Roman" w:eastAsia="Calibri" w:hAnsi="Times New Roman"/>
        </w:rPr>
      </w:pPr>
      <w:r>
        <w:rPr>
          <w:rFonts w:ascii="Times New Roman" w:eastAsia="Calibri" w:hAnsi="Times New Roman"/>
        </w:rPr>
        <w:tab/>
        <w:t xml:space="preserve">Победителем  аукциона становится  участник,  предложений  наиболее высокую   цену  лота. Победитель  аукциона приобретает право </w:t>
      </w:r>
      <w:proofErr w:type="gramStart"/>
      <w:r>
        <w:rPr>
          <w:rFonts w:ascii="Times New Roman" w:eastAsia="Calibri" w:hAnsi="Times New Roman"/>
        </w:rPr>
        <w:t xml:space="preserve">на  размещение нестационарного </w:t>
      </w:r>
      <w:r w:rsidR="00017BBC">
        <w:rPr>
          <w:rFonts w:ascii="Times New Roman" w:eastAsia="Calibri" w:hAnsi="Times New Roman"/>
        </w:rPr>
        <w:t>торгового объекта  на  указанный  в  извещении период  с  момента  подписания  протокола о  результатах</w:t>
      </w:r>
      <w:proofErr w:type="gramEnd"/>
      <w:r w:rsidR="00017BBC">
        <w:rPr>
          <w:rFonts w:ascii="Times New Roman" w:eastAsia="Calibri" w:hAnsi="Times New Roman"/>
        </w:rPr>
        <w:t xml:space="preserve"> аукциона.</w:t>
      </w:r>
    </w:p>
    <w:p w:rsidR="00017BBC" w:rsidRDefault="00017BBC" w:rsidP="000F3078">
      <w:pPr>
        <w:spacing w:after="0"/>
        <w:jc w:val="both"/>
        <w:rPr>
          <w:rFonts w:ascii="Times New Roman" w:eastAsia="Calibri" w:hAnsi="Times New Roman"/>
        </w:rPr>
      </w:pPr>
      <w:r>
        <w:rPr>
          <w:rFonts w:ascii="Times New Roman" w:eastAsia="Calibri" w:hAnsi="Times New Roman"/>
        </w:rPr>
        <w:tab/>
        <w:t>Внесенный  победителем  задаток засчитывается в  счет  платы за  право размещения  нестационарного  торгового объекта. 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по  цене аукциона. В  случае  его  отказа  от  подписания  протокола победителем признается  участник,  сделавший  лучшее  предложение  по  цене, после  отказавшегося участника и т.д</w:t>
      </w:r>
      <w:proofErr w:type="gramStart"/>
      <w:r>
        <w:rPr>
          <w:rFonts w:ascii="Times New Roman" w:eastAsia="Calibri" w:hAnsi="Times New Roman"/>
        </w:rPr>
        <w:t xml:space="preserve">..  </w:t>
      </w:r>
      <w:proofErr w:type="gramEnd"/>
      <w:r>
        <w:rPr>
          <w:rFonts w:ascii="Times New Roman" w:eastAsia="Calibri" w:hAnsi="Times New Roman"/>
        </w:rPr>
        <w:t xml:space="preserve">При отказе  от  подписания протокола, </w:t>
      </w:r>
      <w:r w:rsidR="003B6FB0">
        <w:rPr>
          <w:rFonts w:ascii="Times New Roman" w:eastAsia="Calibri" w:hAnsi="Times New Roman"/>
        </w:rPr>
        <w:t xml:space="preserve">внесенный  </w:t>
      </w:r>
      <w:r>
        <w:rPr>
          <w:rFonts w:ascii="Times New Roman" w:eastAsia="Calibri" w:hAnsi="Times New Roman"/>
        </w:rPr>
        <w:t>задаток  не  возвращается</w:t>
      </w:r>
      <w:r w:rsidR="003B6FB0">
        <w:rPr>
          <w:rFonts w:ascii="Times New Roman" w:eastAsia="Calibri" w:hAnsi="Times New Roman"/>
        </w:rPr>
        <w:t xml:space="preserve">  и  участник  утрачивает право на  размещение  нестационарного  торгового  объекта.</w:t>
      </w:r>
    </w:p>
    <w:p w:rsidR="0082352D" w:rsidRDefault="003B6FB0" w:rsidP="000F3078">
      <w:pPr>
        <w:spacing w:after="0"/>
        <w:jc w:val="both"/>
        <w:rPr>
          <w:rFonts w:ascii="Times New Roman" w:eastAsia="Calibri" w:hAnsi="Times New Roman"/>
        </w:rPr>
      </w:pPr>
      <w:r>
        <w:rPr>
          <w:rFonts w:ascii="Times New Roman" w:eastAsia="Calibri" w:hAnsi="Times New Roman"/>
        </w:rPr>
        <w:tab/>
        <w:t>Возврат  внесенных задатков  участникам аукциона,  не  ставшим</w:t>
      </w:r>
      <w:r w:rsidR="0082352D">
        <w:rPr>
          <w:rFonts w:ascii="Times New Roman" w:eastAsia="Calibri" w:hAnsi="Times New Roman"/>
        </w:rPr>
        <w:t>и</w:t>
      </w:r>
      <w:r>
        <w:rPr>
          <w:rFonts w:ascii="Times New Roman" w:eastAsia="Calibri" w:hAnsi="Times New Roman"/>
        </w:rPr>
        <w:t xml:space="preserve">  победител</w:t>
      </w:r>
      <w:r w:rsidR="0082352D">
        <w:rPr>
          <w:rFonts w:ascii="Times New Roman" w:eastAsia="Calibri" w:hAnsi="Times New Roman"/>
        </w:rPr>
        <w:t xml:space="preserve">ями </w:t>
      </w:r>
      <w:r>
        <w:rPr>
          <w:rFonts w:ascii="Times New Roman" w:eastAsia="Calibri" w:hAnsi="Times New Roman"/>
        </w:rPr>
        <w:t xml:space="preserve">  аукциона, а  также  в  случае признания  аукциона не  состоявшимся,  осуществля</w:t>
      </w:r>
      <w:r w:rsidR="0082352D">
        <w:rPr>
          <w:rFonts w:ascii="Times New Roman" w:eastAsia="Calibri" w:hAnsi="Times New Roman"/>
        </w:rPr>
        <w:t xml:space="preserve">ется </w:t>
      </w:r>
      <w:r>
        <w:rPr>
          <w:rFonts w:ascii="Times New Roman" w:eastAsia="Calibri" w:hAnsi="Times New Roman"/>
        </w:rPr>
        <w:t xml:space="preserve"> в  порядке</w:t>
      </w:r>
      <w:r w:rsidR="0082352D">
        <w:rPr>
          <w:rFonts w:ascii="Times New Roman" w:eastAsia="Calibri" w:hAnsi="Times New Roman"/>
        </w:rPr>
        <w:t>,  предусмотренном   Положением  об  аукционе.</w:t>
      </w:r>
    </w:p>
    <w:p w:rsidR="00F95920" w:rsidRPr="00F95920" w:rsidRDefault="0082352D" w:rsidP="00F9592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rPr>
        <w:tab/>
      </w:r>
      <w:r w:rsidR="008F6E29" w:rsidRPr="00F95920">
        <w:rPr>
          <w:rFonts w:ascii="Times New Roman" w:eastAsia="Calibri" w:hAnsi="Times New Roman"/>
          <w:sz w:val="24"/>
          <w:szCs w:val="24"/>
        </w:rPr>
        <w:t xml:space="preserve"> </w:t>
      </w:r>
      <w:proofErr w:type="gramStart"/>
      <w:r w:rsidR="00F95920" w:rsidRPr="00F95920">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00F95920" w:rsidRPr="00F95920">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00F95920" w:rsidRPr="00F95920">
        <w:rPr>
          <w:rFonts w:ascii="Times New Roman" w:eastAsia="Times New Roman" w:hAnsi="Times New Roman" w:cs="Times New Roman"/>
          <w:sz w:val="24"/>
          <w:szCs w:val="24"/>
          <w:lang w:eastAsia="ru-RU"/>
        </w:rPr>
        <w:t>долями</w:t>
      </w:r>
      <w:proofErr w:type="gramEnd"/>
      <w:r w:rsidR="00F95920" w:rsidRPr="00F95920">
        <w:rPr>
          <w:rFonts w:ascii="Times New Roman" w:eastAsia="Times New Roman" w:hAnsi="Times New Roman" w:cs="Times New Roman"/>
          <w:sz w:val="24"/>
          <w:szCs w:val="24"/>
          <w:lang w:eastAsia="ru-RU"/>
        </w:rPr>
        <w:t xml:space="preserve"> </w:t>
      </w:r>
      <w:r w:rsidR="00F95920" w:rsidRPr="00F95920">
        <w:rPr>
          <w:rFonts w:ascii="Times New Roman" w:eastAsia="Times New Roman" w:hAnsi="Times New Roman" w:cs="Times New Roman"/>
          <w:sz w:val="24"/>
          <w:szCs w:val="24"/>
          <w:lang w:eastAsia="ru-RU"/>
        </w:rPr>
        <w:lastRenderedPageBreak/>
        <w:t>ежеквартально начиная с квартала, следующего за кварталом, за который произведен авансовый, до 10-го числа первого месяца квартала.</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6"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1055C4">
        <w:rPr>
          <w:rFonts w:ascii="Times New Roman" w:eastAsia="Times New Roman" w:hAnsi="Times New Roman" w:cs="Times New Roman"/>
          <w:b/>
          <w:sz w:val="24"/>
          <w:szCs w:val="24"/>
          <w:lang w:eastAsia="ru-RU"/>
        </w:rPr>
        <w:t>5  июня</w:t>
      </w:r>
      <w:r w:rsidR="00844CE3">
        <w:rPr>
          <w:rFonts w:ascii="Times New Roman" w:eastAsia="Times New Roman" w:hAnsi="Times New Roman" w:cs="Times New Roman"/>
          <w:b/>
          <w:sz w:val="24"/>
          <w:szCs w:val="24"/>
          <w:lang w:eastAsia="ru-RU"/>
        </w:rPr>
        <w:t xml:space="preserve">  2018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780101" w:rsidRDefault="00780101" w:rsidP="00A425B7">
      <w:pPr>
        <w:spacing w:after="0" w:line="240" w:lineRule="auto"/>
        <w:jc w:val="center"/>
        <w:rPr>
          <w:rFonts w:ascii="Times New Roman" w:eastAsia="Times New Roman" w:hAnsi="Times New Roman" w:cs="Times New Roman"/>
          <w:sz w:val="24"/>
          <w:szCs w:val="24"/>
          <w:lang w:eastAsia="ru-RU"/>
        </w:rPr>
      </w:pPr>
    </w:p>
    <w:p w:rsidR="00780101" w:rsidRDefault="00780101"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1055C4"/>
    <w:rsid w:val="001B2118"/>
    <w:rsid w:val="00225F21"/>
    <w:rsid w:val="002F7AA8"/>
    <w:rsid w:val="00347A4D"/>
    <w:rsid w:val="003B6FB0"/>
    <w:rsid w:val="00410F9E"/>
    <w:rsid w:val="004575F3"/>
    <w:rsid w:val="004652D7"/>
    <w:rsid w:val="004B281F"/>
    <w:rsid w:val="004C51A6"/>
    <w:rsid w:val="004F1FD7"/>
    <w:rsid w:val="004F78F9"/>
    <w:rsid w:val="00577B60"/>
    <w:rsid w:val="005B3BFC"/>
    <w:rsid w:val="00641F60"/>
    <w:rsid w:val="007010DB"/>
    <w:rsid w:val="00742BB4"/>
    <w:rsid w:val="00743196"/>
    <w:rsid w:val="00780101"/>
    <w:rsid w:val="0078392F"/>
    <w:rsid w:val="00790574"/>
    <w:rsid w:val="007D13FB"/>
    <w:rsid w:val="008200F8"/>
    <w:rsid w:val="00822925"/>
    <w:rsid w:val="0082352D"/>
    <w:rsid w:val="00824129"/>
    <w:rsid w:val="00844CE3"/>
    <w:rsid w:val="008B3683"/>
    <w:rsid w:val="008F6E29"/>
    <w:rsid w:val="0091791E"/>
    <w:rsid w:val="00956792"/>
    <w:rsid w:val="00976FEB"/>
    <w:rsid w:val="009C3761"/>
    <w:rsid w:val="00A16E7D"/>
    <w:rsid w:val="00A360EF"/>
    <w:rsid w:val="00A425B7"/>
    <w:rsid w:val="00A5281A"/>
    <w:rsid w:val="00A5592B"/>
    <w:rsid w:val="00A667D8"/>
    <w:rsid w:val="00A75B4D"/>
    <w:rsid w:val="00AE3343"/>
    <w:rsid w:val="00AE3FBA"/>
    <w:rsid w:val="00B8479E"/>
    <w:rsid w:val="00C64EB2"/>
    <w:rsid w:val="00CC3B3D"/>
    <w:rsid w:val="00CE0892"/>
    <w:rsid w:val="00D04750"/>
    <w:rsid w:val="00D41DCD"/>
    <w:rsid w:val="00D5563C"/>
    <w:rsid w:val="00DB61B3"/>
    <w:rsid w:val="00DD33BE"/>
    <w:rsid w:val="00DE012C"/>
    <w:rsid w:val="00EB019F"/>
    <w:rsid w:val="00EB739E"/>
    <w:rsid w:val="00EE5769"/>
    <w:rsid w:val="00F04608"/>
    <w:rsid w:val="00F42589"/>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mdt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2018-05-10T13:41:00Z</dcterms:created>
  <dcterms:modified xsi:type="dcterms:W3CDTF">2018-05-10T13:41:00Z</dcterms:modified>
</cp:coreProperties>
</file>