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0" w:rsidRPr="001E6060" w:rsidRDefault="001E6060" w:rsidP="001E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2020 </w:t>
      </w:r>
    </w:p>
    <w:p w:rsidR="001E6060" w:rsidRPr="001E6060" w:rsidRDefault="001E6060" w:rsidP="001E60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1E6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Безвозмездные субсидии на дезинфекционные и профилактические мероприятия.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Безвозмездные субсидии на дезинфекционные и профилактические мероприятия.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кого распространяется мера поддержки?</w:t>
      </w:r>
      <w:bookmarkStart w:id="0" w:name="_GoBack"/>
      <w:bookmarkEnd w:id="0"/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>Некоммерческие организации, осуществляющие деятельность в сфере дополнительного образования;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>Малые и средние предприятия, включённые в единый перечень классифицированных гостиниц, горнолыжных трасс, пляжей, размер номерного фонда которых не превышает 100 номеров, формируемый Ростуризмом, или осуществляющие деятельность в следующих отраслях: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1560"/>
      </w:tblGrid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E60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ОКВЭД 2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96.04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86.90.4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компьютеров, предметов личного потребления и</w:t>
            </w:r>
          </w:p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хозяйственно-бытового назначения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96.01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96.02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85.41</w:t>
            </w:r>
          </w:p>
        </w:tc>
      </w:tr>
      <w:tr w:rsidR="001E6060" w:rsidRPr="001E6060" w:rsidTr="001E6060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60" w:rsidRPr="001E6060" w:rsidRDefault="001E6060" w:rsidP="001E6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88.91</w:t>
            </w:r>
          </w:p>
        </w:tc>
      </w:tr>
    </w:tbl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Важно! Малый и средний бизнес сможет получить поддержку только по основному ОКВЭД.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в 2020 году </w:t>
      </w:r>
      <w:proofErr w:type="spellStart"/>
      <w:r w:rsidRPr="001E6060">
        <w:rPr>
          <w:rFonts w:ascii="Arial" w:eastAsia="Times New Roman" w:hAnsi="Arial" w:cs="Arial"/>
          <w:sz w:val="24"/>
          <w:szCs w:val="24"/>
          <w:lang w:eastAsia="ru-RU"/>
        </w:rPr>
        <w:t>единоразово</w:t>
      </w:r>
      <w:proofErr w:type="spellEnd"/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на безвозмездной основе для покрытия части расходов на профилактику и дезинфекцию, связанную с обеспечением санитарно-эпидемиологических требований.</w:t>
      </w:r>
    </w:p>
    <w:p w:rsidR="001E6060" w:rsidRPr="001E6060" w:rsidRDefault="001E6060" w:rsidP="001E60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Напомним, согласно </w:t>
      </w:r>
      <w:hyperlink r:id="rId5" w:tgtFrame="_blank" w:history="1">
        <w:r w:rsidRPr="001E606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рекомендациям </w:t>
        </w:r>
        <w:proofErr w:type="spellStart"/>
        <w:r w:rsidRPr="001E606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Роспотребнадзора</w:t>
        </w:r>
        <w:proofErr w:type="spellEnd"/>
      </w:hyperlink>
      <w:r w:rsidRPr="001E6060">
        <w:rPr>
          <w:rFonts w:ascii="Arial" w:eastAsia="Times New Roman" w:hAnsi="Arial" w:cs="Arial"/>
          <w:sz w:val="24"/>
          <w:szCs w:val="24"/>
          <w:lang w:eastAsia="ru-RU"/>
        </w:rPr>
        <w:t>, предприятия общепита, гостиницы и спортивные организации могут возобновить работу на третьем этапе снятия ограничений по соответствующему решению главы региона. При этом компании должны:</w:t>
      </w:r>
    </w:p>
    <w:p w:rsidR="001E6060" w:rsidRPr="001E6060" w:rsidRDefault="001E6060" w:rsidP="00D2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>замерять температуру посетителей и персонала;</w:t>
      </w:r>
    </w:p>
    <w:p w:rsidR="001E6060" w:rsidRPr="001E6060" w:rsidRDefault="001E6060" w:rsidP="00D2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социальное </w:t>
      </w:r>
      <w:proofErr w:type="spellStart"/>
      <w:r w:rsidRPr="001E6060">
        <w:rPr>
          <w:rFonts w:ascii="Arial" w:eastAsia="Times New Roman" w:hAnsi="Arial" w:cs="Arial"/>
          <w:sz w:val="24"/>
          <w:szCs w:val="24"/>
          <w:lang w:eastAsia="ru-RU"/>
        </w:rPr>
        <w:t>дистанцирование</w:t>
      </w:r>
      <w:proofErr w:type="spellEnd"/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(1,5–2 м);</w:t>
      </w:r>
    </w:p>
    <w:p w:rsidR="001E6060" w:rsidRPr="001E6060" w:rsidRDefault="001E6060" w:rsidP="00D2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>обеспечить посетителей антисептиками;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>предоставить сотрудникам индивидуальные средства защиты (маски и перчатки), менять которые нужно раз в 3 часа.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sz w:val="24"/>
          <w:szCs w:val="24"/>
          <w:lang w:eastAsia="ru-RU"/>
        </w:rPr>
        <w:t>Такие мероприятия предполагают дополнительные расходы и нагрузку на бизнес. Для сокращения части затрат предпринимателей Минэкономразвития РФ разработало документ, предполагающий предоставление субсидий СОНКО и МСП.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Совокупное количество получателей поддержки составит около </w:t>
      </w: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500 тыс.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предпринимателей, у которых работают порядка </w:t>
      </w: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1,5 </w:t>
      </w:r>
      <w:proofErr w:type="gramStart"/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млн</w:t>
      </w:r>
      <w:proofErr w:type="gramEnd"/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Условия получения субсидии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10 июня 2020 г. предприятие должно быть включено в </w:t>
      </w:r>
      <w:hyperlink r:id="rId6" w:tgtFrame="_blank" w:history="1">
        <w:r w:rsidRPr="001E606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Единый реестр субъектов малого и среднего предпринимательства</w:t>
        </w:r>
      </w:hyperlink>
      <w:r w:rsidRPr="001E60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>СОНКО должны быть включены в реестр некоммерческих организаций, а образование должно быть указано в качестве основного вида деятельности.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Собственники горнолыжных трасс, пляжей и гостиниц (номерной фонд которых не превышает 100 номеров) должны быть включены в </w:t>
      </w:r>
      <w:hyperlink r:id="rId7" w:tgtFrame="_blank" w:history="1">
        <w:r w:rsidRPr="001E606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единый перечень классифицированных объектов туристской индустрии</w:t>
        </w:r>
      </w:hyperlink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10 июня 2020 года.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>Организация не должна находиться в процессе ликвидации или проходить процедуру банкротства.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>На дату подачи заявления недоимка по налогам и страховым взносам в совокупности (с учётом имеющейся переплаты по налогам и страховым взносам) не должна превышать 3 тыс. руб.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6060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1E6060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Как будет определяться размер субсидии?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Фиксированная выплата </w:t>
      </w: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 тыс.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руб. для компаний, а также по </w:t>
      </w: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6,5 тыс.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руб. на каждого работника (по данным за май 2020 г.).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Для ИП – по </w:t>
      </w: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6,5 тыс.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руб. на каждого работника (по данным за май 2020 г.) и </w:t>
      </w: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 тыс.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на самого индивидуального предпринимателя.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•  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Для ИП без работников – </w:t>
      </w: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 тыс.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руб. на самого предпринимателя.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sz w:val="24"/>
          <w:szCs w:val="24"/>
          <w:lang w:eastAsia="ru-RU"/>
        </w:rPr>
        <w:t>Количество работников ФНС будет проверять на основании отчётности в Пенсионный фонд РФ.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6060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r w:rsidRPr="001E6060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Как и в какие сроки можно будет получить субсидию?</w:t>
      </w:r>
    </w:p>
    <w:p w:rsidR="001E6060" w:rsidRPr="001E6060" w:rsidRDefault="001E6060" w:rsidP="001E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Предприниматель должен направить в налоговый орган по месту нахождения организации заявление по почте или подать заявку через личный кабинет налогоплательщика </w:t>
      </w:r>
      <w:r w:rsidRPr="001E6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15 июля по 15 августа 2020 г.</w:t>
      </w:r>
      <w:r w:rsidRPr="001E6060">
        <w:rPr>
          <w:rFonts w:ascii="Arial" w:eastAsia="Times New Roman" w:hAnsi="Arial" w:cs="Arial"/>
          <w:sz w:val="24"/>
          <w:szCs w:val="24"/>
          <w:lang w:eastAsia="ru-RU"/>
        </w:rPr>
        <w:t xml:space="preserve"> (включительно). В заявлении необходимо указать счёт, на который будут перечислены средства субсидии. Уведомление о ходе рассмотрения заявки придёт предпринимателю выбранным способом.</w:t>
      </w:r>
    </w:p>
    <w:p w:rsidR="00FA4D7D" w:rsidRDefault="00FA4D7D" w:rsidP="001E6060">
      <w:pPr>
        <w:spacing w:after="0" w:line="240" w:lineRule="auto"/>
        <w:ind w:right="851"/>
      </w:pPr>
    </w:p>
    <w:sectPr w:rsidR="00FA4D7D" w:rsidSect="001E6060">
      <w:pgSz w:w="11906" w:h="16838"/>
      <w:pgMar w:top="709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0"/>
    <w:rsid w:val="001E6060"/>
    <w:rsid w:val="00D261F8"/>
    <w:rsid w:val="00E0148F"/>
    <w:rsid w:val="00F276F9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a3acabbldhv3chawrl5bzn.xn--p1ai/displayAccommodation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hyperlink" Target="https://www.rospotrebnadzor.ru/region/korono_virus/rekomendatsii-dlya-biznesa-covid-19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2020-07-29T07:16:00Z</cp:lastPrinted>
  <dcterms:created xsi:type="dcterms:W3CDTF">2020-07-29T06:29:00Z</dcterms:created>
  <dcterms:modified xsi:type="dcterms:W3CDTF">2020-07-29T07:41:00Z</dcterms:modified>
</cp:coreProperties>
</file>